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Poppins" w:cs="Poppins" w:eastAsia="Poppins" w:hAnsi="Poppins"/>
          <w:color w:val="ff2da1"/>
        </w:rPr>
      </w:pPr>
      <w:bookmarkStart w:colFirst="0" w:colLast="0" w:name="_bojljm72w4uf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rFonts w:ascii="Poppins" w:cs="Poppins" w:eastAsia="Poppins" w:hAnsi="Poppins"/>
        </w:rPr>
      </w:pPr>
      <w:bookmarkStart w:colFirst="0" w:colLast="0" w:name="_c48ycb7wdamg" w:id="1"/>
      <w:bookmarkEnd w:id="1"/>
      <w:r w:rsidDel="00000000" w:rsidR="00000000" w:rsidRPr="00000000">
        <w:rPr>
          <w:rFonts w:ascii="Poppins" w:cs="Poppins" w:eastAsia="Poppins" w:hAnsi="Poppins"/>
          <w:rtl w:val="0"/>
        </w:rPr>
        <w:t xml:space="preserve">Foundation 3: How to build an audience with your 1,000 truest believers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b w:val="1"/>
          <w:color w:val="ff2da1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Lesson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after="240" w:before="240" w:lineRule="auto"/>
        <w:rPr>
          <w:b w:val="1"/>
        </w:rPr>
      </w:pPr>
      <w:bookmarkStart w:colFirst="0" w:colLast="0" w:name="_nhwzicsswiec" w:id="2"/>
      <w:bookmarkEnd w:id="2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Write down the names of 20 of your top believers.</w:t>
      </w:r>
    </w:p>
    <w:p w:rsidR="00000000" w:rsidDel="00000000" w:rsidP="00000000" w:rsidRDefault="00000000" w:rsidRPr="00000000" w14:paraId="00000007">
      <w:pPr>
        <w:pStyle w:val="Heading2"/>
        <w:spacing w:after="240" w:before="240" w:lineRule="auto"/>
        <w:rPr>
          <w:rFonts w:ascii="Arial" w:cs="Arial" w:eastAsia="Arial" w:hAnsi="Arial"/>
          <w:color w:val="666666"/>
          <w:sz w:val="26"/>
          <w:szCs w:val="26"/>
        </w:rPr>
      </w:pPr>
      <w:bookmarkStart w:colFirst="0" w:colLast="0" w:name="_wcmgj1dhcru6" w:id="3"/>
      <w:bookmarkEnd w:id="3"/>
      <w:r w:rsidDel="00000000" w:rsidR="00000000" w:rsidRPr="00000000">
        <w:rPr>
          <w:rFonts w:ascii="Arial" w:cs="Arial" w:eastAsia="Arial" w:hAnsi="Arial"/>
          <w:color w:val="666666"/>
          <w:sz w:val="26"/>
          <w:szCs w:val="26"/>
          <w:rtl w:val="0"/>
        </w:rPr>
        <w:t xml:space="preserve">It’s all in your audience data, but you probably already know many of them by their first names.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40" w:before="240" w:lineRule="auto"/>
        <w:rPr>
          <w:b w:val="1"/>
          <w:sz w:val="8"/>
          <w:szCs w:val="8"/>
        </w:rPr>
      </w:pPr>
      <w:bookmarkStart w:colFirst="0" w:colLast="0" w:name="_jpojp3tuxryk" w:id="4"/>
      <w:bookmarkEnd w:id="4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Building a persona: start with audience data and get to </w:t>
      </w:r>
      <w:r w:rsidDel="00000000" w:rsidR="00000000" w:rsidRPr="00000000">
        <w:rPr>
          <w:b w:val="1"/>
          <w:rtl w:val="0"/>
        </w:rPr>
        <w:t xml:space="preserve">really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know your audience through actual conversations.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What is she watching on tv?</w:t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What's her go-to app when she's waiting for the elevator?</w:t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Is she a WhatsApper or a Telegrammer? Line or WeChat?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Does she have kids?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And what problems does she live with?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cpqargmxq8qe" w:id="5"/>
      <w:bookmarkEnd w:id="5"/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Write down what you think your competition is — what app or tv show or podcast or YouTube channel or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Arial" w:cs="Arial" w:eastAsia="Arial" w:hAnsi="Arial"/>
          <w:b w:val="1"/>
          <w:color w:val="666666"/>
          <w:sz w:val="26"/>
          <w:szCs w:val="26"/>
        </w:rPr>
      </w:pPr>
      <w:bookmarkStart w:colFirst="0" w:colLast="0" w:name="_6mz686ggj4us" w:id="6"/>
      <w:bookmarkEnd w:id="6"/>
      <w:r w:rsidDel="00000000" w:rsidR="00000000" w:rsidRPr="00000000">
        <w:rPr>
          <w:rFonts w:ascii="Arial" w:cs="Arial" w:eastAsia="Arial" w:hAnsi="Arial"/>
          <w:color w:val="666666"/>
          <w:sz w:val="26"/>
          <w:szCs w:val="26"/>
          <w:rtl w:val="0"/>
        </w:rPr>
        <w:t xml:space="preserve">Your competition isn’t limited to other organisations that also do news. Your competition is what your true believer spends her time doing instead of reading your Very Important Article.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yjleq51zh6p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6115" cy="309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546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15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024454" cy="53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454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oppins" w:cs="Poppins" w:eastAsia="Poppins" w:hAnsi="Poppi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ff2da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licemedia.com/school-of-splice/foundation/03-how-to-build-an-audience-with-your-1000-truest-believer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